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line="276" w:lineRule="auto"/>
        <w:rPr>
          <w:rFonts w:ascii="Arial" w:cs="Arial" w:eastAsia="Arial" w:hAnsi="Arial"/>
          <w:color w:val="1155cc"/>
          <w:sz w:val="34"/>
          <w:szCs w:val="34"/>
        </w:rPr>
      </w:pPr>
      <w:bookmarkStart w:colFirst="0" w:colLast="0" w:name="_pl4s0g27jop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0"/>
        <w:gridCol w:w="1830"/>
        <w:tblGridChange w:id="0">
          <w:tblGrid>
            <w:gridCol w:w="735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Cambria" w:cs="Cambria" w:eastAsia="Cambria" w:hAnsi="Cambria"/>
                <w:color w:val="003399"/>
                <w:sz w:val="40"/>
                <w:szCs w:val="40"/>
              </w:rPr>
            </w:pPr>
            <w:bookmarkStart w:colFirst="0" w:colLast="0" w:name="_5zoqqr61gqgg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003399"/>
                <w:sz w:val="40"/>
                <w:szCs w:val="40"/>
                <w:rtl w:val="0"/>
              </w:rPr>
              <w:t xml:space="preserve">Marian College Ararat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142875</wp:posOffset>
                  </wp:positionV>
                  <wp:extent cx="890588" cy="62865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Arial" w:cs="Arial" w:eastAsia="Arial" w:hAnsi="Arial"/>
                <w:color w:val="1155cc"/>
                <w:sz w:val="34"/>
                <w:szCs w:val="34"/>
              </w:rPr>
            </w:pPr>
            <w:bookmarkStart w:colFirst="0" w:colLast="0" w:name="_vab9jymbohp1" w:id="2"/>
            <w:bookmarkEnd w:id="2"/>
            <w:r w:rsidDel="00000000" w:rsidR="00000000" w:rsidRPr="00000000">
              <w:rPr>
                <w:rFonts w:ascii="Arial" w:cs="Arial" w:eastAsia="Arial" w:hAnsi="Arial"/>
                <w:color w:val="1155cc"/>
                <w:sz w:val="34"/>
                <w:szCs w:val="34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b w:val="1"/>
          <w:color w:val="3d85c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36"/>
          <w:szCs w:val="36"/>
          <w:rtl w:val="0"/>
        </w:rPr>
        <w:t xml:space="preserve">Principal’s Assistant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: Education Support Officer, Category B, Level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Reports to : Principal, Business Manager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6"/>
        <w:gridCol w:w="6776"/>
        <w:tblGridChange w:id="0">
          <w:tblGrid>
            <w:gridCol w:w="2466"/>
            <w:gridCol w:w="67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after="20" w:line="240" w:lineRule="auto"/>
              <w:ind w:left="1" w:right="-2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Commitment to </w:t>
              <w:br w:type="textWrapping"/>
              <w:t xml:space="preserve">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A willingness to support the College’s values, policies and procedures.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Principal’s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Act as first point of contact for calls and contact with the Principal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Principal’s Calendar, including bookings and meetings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Manage Principals correspondence and record systems.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Coordinate</w:t>
            </w:r>
            <w:r w:rsidDel="00000000" w:rsidR="00000000" w:rsidRPr="00000000">
              <w:rPr>
                <w:rtl w:val="0"/>
              </w:rPr>
              <w:t xml:space="preserve"> OH&amp;S activities including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1"/>
                <w:numId w:val="5"/>
              </w:numPr>
              <w:spacing w:after="0" w:afterAutospacing="0"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OH&amp;S meetings, inspections, reporting and MSDS’s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1"/>
                <w:numId w:val="5"/>
              </w:numPr>
              <w:spacing w:after="0" w:afterAutospacing="0"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Triage near misses and injuries through Complispace including the reporting of serious incidents/injuries to Worksafe within required time frame.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1"/>
                <w:numId w:val="5"/>
              </w:numPr>
              <w:spacing w:after="0" w:afterAutospacing="0"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Liaise with the designated Leadership Team member to ensure all off-site activities meet child safety and risk requirements.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1"/>
                <w:numId w:val="5"/>
              </w:numPr>
              <w:spacing w:after="0" w:afterAutospacing="0"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Provide staff and Leadership Team with information on OH&amp;S practice and legal requirements.  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Provide admin and other support to the Stewardship Committee, including preparing agenda and associated documents, minute taking, bookings and organising catering.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Support Principal/Leadership events, including arranging bookings, catering and accommodation as required.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Assist with the Enrollment process and related publicity.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Provide admin support for College events as required.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Oversee the information requirements of the Colleges VRQA registration including management of the registration module of Complispace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Assist the Principal in administrative matters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Coordinate College and Staff Reviews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Provide backup support to Reception/Administration staff.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Attend staff and leadership meetings as required.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Handle confidential information in an appropriate manner.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Provide hospitality for College/Principal’s guests as required.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5"/>
              </w:numPr>
              <w:spacing w:after="20" w:line="276" w:lineRule="auto"/>
              <w:ind w:left="36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administration support for VASS.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Must hold or be willing to acquire a Working with Children Check card and must be willing to undergo a National Police Record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 familiar with and comply with the school's child-safe policy and code of conduct, and any other policies or procedures relating to child safety 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duty of care to students in relation to their physical and mental wellbeing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2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Contribute to a healthy and safe work environment for yourself and others and comply with all safe work policies and procedures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Other duties as directed by the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Skills/Attributes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Ability to work as part of a team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 oral and written communication skills, including ability to communicate with children, parents and the school community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Ability to develop and maintain strong working relationships with key stakeholders 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Capacity to work to tight timelines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time-management skills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Self-motivation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0" w:left="1440" w:right="1440" w:header="144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Style w:val="Heading2"/>
      <w:pageBreakBefore w:val="0"/>
      <w:rPr/>
    </w:pPr>
    <w:bookmarkStart w:colFirst="0" w:colLast="0" w:name="_evpplexk31fs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