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FF4A" w14:textId="77777777" w:rsidR="00D1780D" w:rsidRPr="00D51952" w:rsidRDefault="00D51952" w:rsidP="00D51952">
      <w:pPr>
        <w:ind w:left="-1276" w:right="113"/>
        <w:jc w:val="right"/>
        <w:rPr>
          <w:rFonts w:asciiTheme="minorHAnsi" w:hAnsiTheme="minorHAnsi" w:cstheme="minorHAnsi"/>
          <w:color w:val="0C0294"/>
          <w:w w:val="108"/>
          <w:sz w:val="47"/>
          <w:szCs w:val="47"/>
        </w:rPr>
      </w:pPr>
      <w:r>
        <w:rPr>
          <w:rFonts w:asciiTheme="minorHAnsi" w:hAnsiTheme="minorHAnsi" w:cstheme="minorHAnsi"/>
          <w:noProof/>
          <w:color w:val="0A0149"/>
          <w:lang w:val="en-AU" w:eastAsia="en-AU"/>
        </w:rPr>
        <w:drawing>
          <wp:anchor distT="0" distB="0" distL="114300" distR="114300" simplePos="0" relativeHeight="251656704" behindDoc="0" locked="0" layoutInCell="1" allowOverlap="1" wp14:anchorId="1FC31816" wp14:editId="1A7FC33C">
            <wp:simplePos x="0" y="0"/>
            <wp:positionH relativeFrom="column">
              <wp:posOffset>101600</wp:posOffset>
            </wp:positionH>
            <wp:positionV relativeFrom="paragraph">
              <wp:posOffset>-98425</wp:posOffset>
            </wp:positionV>
            <wp:extent cx="2966720" cy="971877"/>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an-logo-dark-Blue-web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6720" cy="971877"/>
                    </a:xfrm>
                    <a:prstGeom prst="rect">
                      <a:avLst/>
                    </a:prstGeom>
                  </pic:spPr>
                </pic:pic>
              </a:graphicData>
            </a:graphic>
          </wp:anchor>
        </w:drawing>
      </w:r>
      <w:r w:rsidR="00987A47" w:rsidRPr="00D51952">
        <w:rPr>
          <w:rFonts w:asciiTheme="minorHAnsi" w:hAnsiTheme="minorHAnsi" w:cstheme="minorHAnsi"/>
          <w:color w:val="0A0149"/>
        </w:rPr>
        <w:br w:type="column"/>
      </w:r>
      <w:r w:rsidR="00987A47" w:rsidRPr="00D51952">
        <w:rPr>
          <w:rFonts w:asciiTheme="minorHAnsi" w:hAnsiTheme="minorHAnsi" w:cstheme="minorHAnsi"/>
          <w:color w:val="0C0294"/>
          <w:w w:val="108"/>
          <w:sz w:val="47"/>
          <w:szCs w:val="47"/>
        </w:rPr>
        <w:t>Fee Schedule</w:t>
      </w:r>
    </w:p>
    <w:p w14:paraId="40A5B1D8" w14:textId="77777777" w:rsidR="00D1780D" w:rsidRPr="00D51952" w:rsidRDefault="00987A47" w:rsidP="00D51952">
      <w:pPr>
        <w:ind w:right="113"/>
        <w:jc w:val="right"/>
        <w:rPr>
          <w:rFonts w:asciiTheme="minorHAnsi" w:eastAsia="Arial" w:hAnsiTheme="minorHAnsi" w:cstheme="minorHAnsi"/>
          <w:color w:val="0A0149"/>
          <w:sz w:val="47"/>
          <w:szCs w:val="47"/>
        </w:rPr>
        <w:sectPr w:rsidR="00D1780D" w:rsidRPr="00D51952" w:rsidSect="00E06595">
          <w:footerReference w:type="default" r:id="rId8"/>
          <w:type w:val="continuous"/>
          <w:pgSz w:w="11920" w:h="16840"/>
          <w:pgMar w:top="860" w:right="620" w:bottom="280" w:left="500" w:header="720" w:footer="454" w:gutter="0"/>
          <w:cols w:num="2" w:space="720" w:equalWidth="0">
            <w:col w:w="5775" w:space="2528"/>
            <w:col w:w="2497"/>
          </w:cols>
          <w:docGrid w:linePitch="272"/>
        </w:sectPr>
      </w:pPr>
      <w:r w:rsidRPr="00D51952">
        <w:rPr>
          <w:rFonts w:asciiTheme="minorHAnsi" w:hAnsiTheme="minorHAnsi" w:cstheme="minorHAnsi"/>
          <w:color w:val="0C0294"/>
          <w:w w:val="108"/>
          <w:sz w:val="47"/>
          <w:szCs w:val="47"/>
        </w:rPr>
        <w:t>2026</w:t>
      </w:r>
    </w:p>
    <w:p w14:paraId="2FA47DF7" w14:textId="77777777" w:rsidR="00D1780D" w:rsidRPr="00EF4834" w:rsidRDefault="00D1780D">
      <w:pPr>
        <w:spacing w:before="8" w:line="140" w:lineRule="exact"/>
        <w:rPr>
          <w:rFonts w:asciiTheme="minorHAnsi" w:hAnsiTheme="minorHAnsi" w:cstheme="minorHAnsi"/>
          <w:sz w:val="15"/>
          <w:szCs w:val="15"/>
        </w:rPr>
      </w:pPr>
    </w:p>
    <w:p w14:paraId="5481460B" w14:textId="77777777" w:rsidR="00D1780D" w:rsidRPr="00EF4834" w:rsidRDefault="00D1780D">
      <w:pPr>
        <w:spacing w:line="200" w:lineRule="exact"/>
        <w:rPr>
          <w:rFonts w:asciiTheme="minorHAnsi" w:hAnsiTheme="minorHAnsi" w:cstheme="minorHAnsi"/>
        </w:rPr>
      </w:pPr>
    </w:p>
    <w:p w14:paraId="7E69019D" w14:textId="77777777" w:rsidR="00D1780D" w:rsidRPr="00EF4834" w:rsidRDefault="00D1780D">
      <w:pPr>
        <w:spacing w:line="200" w:lineRule="exact"/>
        <w:rPr>
          <w:rFonts w:asciiTheme="minorHAnsi" w:hAnsiTheme="minorHAnsi" w:cstheme="minorHAnsi"/>
        </w:rPr>
      </w:pPr>
    </w:p>
    <w:p w14:paraId="1D6FDA46" w14:textId="77777777" w:rsidR="00D1780D" w:rsidRPr="00EF4834" w:rsidRDefault="00AE202E">
      <w:pPr>
        <w:spacing w:line="200" w:lineRule="exact"/>
        <w:rPr>
          <w:rFonts w:asciiTheme="minorHAnsi" w:hAnsiTheme="minorHAnsi" w:cstheme="minorHAnsi"/>
        </w:rPr>
      </w:pPr>
      <w:r>
        <w:rPr>
          <w:rFonts w:asciiTheme="minorHAnsi" w:hAnsiTheme="minorHAnsi" w:cstheme="minorHAnsi"/>
        </w:rPr>
        <w:pict w14:anchorId="3E79ED96">
          <v:group id="_x0000_s2050" alt="" style="position:absolute;margin-left:28.7pt;margin-top:133.6pt;width:532.3pt;height:46.9pt;z-index:-251658240;mso-position-horizontal-relative:page;mso-position-vertical-relative:page" coordorigin="588,14882" coordsize="10646,938">
            <v:shape id="_x0000_s2051" alt="" style="position:absolute;left:588;top:14882;width:10646;height:938" coordorigin="588,14882" coordsize="10646,938" path="m588,14882r10646,l11234,15821r-10646,l588,14882xe" fillcolor="#0c015f" strokecolor="#0a0149">
              <v:path arrowok="t"/>
            </v:shape>
            <w10:wrap anchorx="page" anchory="page"/>
          </v:group>
        </w:pict>
      </w:r>
    </w:p>
    <w:p w14:paraId="67157B08" w14:textId="77777777" w:rsidR="00D1780D" w:rsidRPr="00EF4834" w:rsidRDefault="00D1780D">
      <w:pPr>
        <w:spacing w:line="200" w:lineRule="exact"/>
        <w:rPr>
          <w:rFonts w:asciiTheme="minorHAnsi" w:hAnsiTheme="minorHAnsi" w:cstheme="minorHAnsi"/>
        </w:rPr>
        <w:sectPr w:rsidR="00D1780D" w:rsidRPr="00EF4834">
          <w:type w:val="continuous"/>
          <w:pgSz w:w="11920" w:h="16840"/>
          <w:pgMar w:top="860" w:right="620" w:bottom="280" w:left="500" w:header="720" w:footer="720" w:gutter="0"/>
          <w:cols w:space="720"/>
        </w:sectPr>
      </w:pPr>
    </w:p>
    <w:p w14:paraId="3E1DC650" w14:textId="77777777" w:rsidR="00D1780D" w:rsidRPr="00EF4834" w:rsidRDefault="00D1780D">
      <w:pPr>
        <w:spacing w:before="7" w:line="160" w:lineRule="exact"/>
        <w:rPr>
          <w:rFonts w:asciiTheme="minorHAnsi" w:hAnsiTheme="minorHAnsi" w:cstheme="minorHAnsi"/>
          <w:sz w:val="17"/>
          <w:szCs w:val="17"/>
        </w:rPr>
      </w:pPr>
    </w:p>
    <w:p w14:paraId="174DADD4" w14:textId="77777777" w:rsidR="00D1780D" w:rsidRPr="00F34075" w:rsidRDefault="00987A47" w:rsidP="00D51952">
      <w:pPr>
        <w:tabs>
          <w:tab w:val="left" w:pos="5670"/>
        </w:tabs>
        <w:ind w:left="142"/>
        <w:rPr>
          <w:rFonts w:ascii="Calibri" w:hAnsi="Calibri" w:cs="Calibri"/>
          <w:b/>
          <w:color w:val="FFFFFF" w:themeColor="background1"/>
          <w:w w:val="116"/>
          <w:sz w:val="28"/>
          <w:szCs w:val="28"/>
        </w:rPr>
      </w:pPr>
      <w:r w:rsidRPr="00F34075">
        <w:rPr>
          <w:rFonts w:ascii="Calibri" w:hAnsi="Calibri" w:cs="Calibri"/>
          <w:b/>
          <w:color w:val="FFFFFF" w:themeColor="background1"/>
          <w:w w:val="116"/>
          <w:sz w:val="28"/>
          <w:szCs w:val="28"/>
        </w:rPr>
        <w:t>Annual Tuition fees</w:t>
      </w:r>
      <w:r w:rsidR="00D51952" w:rsidRPr="00F34075">
        <w:rPr>
          <w:rFonts w:ascii="Calibri" w:hAnsi="Calibri" w:cs="Calibri"/>
          <w:b/>
          <w:color w:val="FFFFFF" w:themeColor="background1"/>
          <w:w w:val="116"/>
          <w:sz w:val="28"/>
          <w:szCs w:val="28"/>
        </w:rPr>
        <w:tab/>
        <w:t>Flat $2,393 (for Years 7-12)</w:t>
      </w:r>
    </w:p>
    <w:p w14:paraId="1A124B6D" w14:textId="77777777" w:rsidR="00D1780D" w:rsidRPr="00EF4834" w:rsidRDefault="00D1780D">
      <w:pPr>
        <w:spacing w:before="5" w:line="200" w:lineRule="exact"/>
        <w:rPr>
          <w:rFonts w:asciiTheme="minorHAnsi" w:hAnsiTheme="minorHAnsi" w:cstheme="minorHAnsi"/>
        </w:rPr>
      </w:pPr>
    </w:p>
    <w:p w14:paraId="4AE44AEC" w14:textId="77777777" w:rsidR="00D1780D" w:rsidRPr="00EF4834" w:rsidRDefault="00D1780D">
      <w:pPr>
        <w:spacing w:line="180" w:lineRule="exact"/>
        <w:rPr>
          <w:rFonts w:asciiTheme="minorHAnsi" w:hAnsiTheme="minorHAnsi" w:cstheme="minorHAnsi"/>
          <w:sz w:val="19"/>
          <w:szCs w:val="19"/>
        </w:rPr>
      </w:pPr>
    </w:p>
    <w:p w14:paraId="331B0DA9" w14:textId="77777777" w:rsidR="00D1780D" w:rsidRPr="00EF4834" w:rsidRDefault="00D1780D">
      <w:pPr>
        <w:spacing w:line="200" w:lineRule="exact"/>
        <w:rPr>
          <w:rFonts w:asciiTheme="minorHAnsi" w:hAnsiTheme="minorHAnsi" w:cstheme="minorHAnsi"/>
        </w:rPr>
        <w:sectPr w:rsidR="00D1780D" w:rsidRPr="00EF4834">
          <w:type w:val="continuous"/>
          <w:pgSz w:w="11920" w:h="16840"/>
          <w:pgMar w:top="860" w:right="620" w:bottom="280" w:left="500" w:header="720" w:footer="720" w:gutter="0"/>
          <w:cols w:space="720"/>
        </w:sectPr>
      </w:pPr>
    </w:p>
    <w:p w14:paraId="2FE7E2A3" w14:textId="77777777" w:rsidR="00D1780D" w:rsidRPr="00E06595" w:rsidRDefault="00D1780D" w:rsidP="00EF4834">
      <w:pPr>
        <w:spacing w:before="13" w:line="267" w:lineRule="auto"/>
        <w:ind w:left="114" w:right="71"/>
        <w:rPr>
          <w:rFonts w:asciiTheme="minorHAnsi" w:hAnsiTheme="minorHAnsi" w:cstheme="minorHAnsi"/>
          <w:sz w:val="22"/>
          <w:szCs w:val="22"/>
        </w:rPr>
      </w:pPr>
    </w:p>
    <w:p w14:paraId="6DEE63AD" w14:textId="77777777" w:rsidR="00EF4834" w:rsidRPr="00E06595" w:rsidRDefault="00EF4834" w:rsidP="00EF4834">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What is included</w:t>
      </w:r>
      <w:r w:rsidR="00D51952" w:rsidRPr="00E06595">
        <w:rPr>
          <w:rFonts w:asciiTheme="minorHAnsi" w:hAnsiTheme="minorHAnsi" w:cstheme="minorHAnsi"/>
          <w:b/>
          <w:color w:val="0C0294"/>
          <w:w w:val="116"/>
          <w:sz w:val="24"/>
          <w:szCs w:val="24"/>
        </w:rPr>
        <w:t>?</w:t>
      </w:r>
    </w:p>
    <w:p w14:paraId="6D72C33B" w14:textId="77777777" w:rsidR="00D1780D" w:rsidRPr="00F34075" w:rsidRDefault="00EF4834" w:rsidP="00EF4834">
      <w:pPr>
        <w:spacing w:before="13" w:line="267" w:lineRule="auto"/>
        <w:ind w:left="114" w:right="-88"/>
        <w:rPr>
          <w:rFonts w:asciiTheme="minorHAnsi" w:hAnsiTheme="minorHAnsi" w:cstheme="minorHAnsi"/>
          <w:sz w:val="22"/>
          <w:szCs w:val="22"/>
        </w:rPr>
      </w:pPr>
      <w:r w:rsidRPr="00F34075">
        <w:rPr>
          <w:rFonts w:asciiTheme="minorHAnsi" w:hAnsiTheme="minorHAnsi" w:cstheme="minorHAnsi"/>
          <w:sz w:val="22"/>
          <w:szCs w:val="22"/>
        </w:rPr>
        <w:t>The Annual Tuition fee covers tuition fees, administration,</w:t>
      </w:r>
      <w:r w:rsidR="00E06595">
        <w:rPr>
          <w:rFonts w:asciiTheme="minorHAnsi" w:hAnsiTheme="minorHAnsi" w:cstheme="minorHAnsi"/>
          <w:sz w:val="22"/>
          <w:szCs w:val="22"/>
        </w:rPr>
        <w:t xml:space="preserve"> </w:t>
      </w:r>
      <w:r w:rsidRPr="00F34075">
        <w:rPr>
          <w:rFonts w:asciiTheme="minorHAnsi" w:hAnsiTheme="minorHAnsi" w:cstheme="minorHAnsi"/>
          <w:sz w:val="22"/>
          <w:szCs w:val="22"/>
        </w:rPr>
        <w:t>subject levies, the cost of Y</w:t>
      </w:r>
      <w:r w:rsidR="00D51952" w:rsidRPr="00F34075">
        <w:rPr>
          <w:rFonts w:asciiTheme="minorHAnsi" w:hAnsiTheme="minorHAnsi" w:cstheme="minorHAnsi"/>
          <w:sz w:val="22"/>
          <w:szCs w:val="22"/>
        </w:rPr>
        <w:t>ea</w:t>
      </w:r>
      <w:r w:rsidRPr="00F34075">
        <w:rPr>
          <w:rFonts w:asciiTheme="minorHAnsi" w:hAnsiTheme="minorHAnsi" w:cstheme="minorHAnsi"/>
          <w:sz w:val="22"/>
          <w:szCs w:val="22"/>
        </w:rPr>
        <w:t>r 7 &amp; 10 Camps, Y</w:t>
      </w:r>
      <w:r w:rsidR="00D51952" w:rsidRPr="00F34075">
        <w:rPr>
          <w:rFonts w:asciiTheme="minorHAnsi" w:hAnsiTheme="minorHAnsi" w:cstheme="minorHAnsi"/>
          <w:sz w:val="22"/>
          <w:szCs w:val="22"/>
        </w:rPr>
        <w:t>ea</w:t>
      </w:r>
      <w:r w:rsidRPr="00F34075">
        <w:rPr>
          <w:rFonts w:asciiTheme="minorHAnsi" w:hAnsiTheme="minorHAnsi" w:cstheme="minorHAnsi"/>
          <w:sz w:val="22"/>
          <w:szCs w:val="22"/>
        </w:rPr>
        <w:t>r 12 Retreat, Year level Activity days, local and regional excursions, swimming &amp; athletics sports, student Accident Insurance and other sundry classroom and student-related costs.</w:t>
      </w:r>
    </w:p>
    <w:p w14:paraId="66B8911D" w14:textId="77777777" w:rsidR="00D1780D" w:rsidRPr="00F34075" w:rsidRDefault="00D1780D" w:rsidP="00EF4834">
      <w:pPr>
        <w:spacing w:before="13" w:line="267" w:lineRule="auto"/>
        <w:ind w:left="114" w:right="71"/>
        <w:rPr>
          <w:rFonts w:asciiTheme="minorHAnsi" w:hAnsiTheme="minorHAnsi" w:cstheme="minorHAnsi"/>
          <w:sz w:val="22"/>
          <w:szCs w:val="22"/>
        </w:rPr>
      </w:pPr>
    </w:p>
    <w:p w14:paraId="51A3E7EA" w14:textId="77777777" w:rsidR="00D1780D" w:rsidRPr="00E06595" w:rsidRDefault="00987A47" w:rsidP="00EF4834">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What is not included</w:t>
      </w:r>
      <w:r w:rsidR="00D51952" w:rsidRPr="00E06595">
        <w:rPr>
          <w:rFonts w:asciiTheme="minorHAnsi" w:hAnsiTheme="minorHAnsi" w:cstheme="minorHAnsi"/>
          <w:b/>
          <w:color w:val="0C0294"/>
          <w:w w:val="116"/>
          <w:sz w:val="24"/>
          <w:szCs w:val="24"/>
        </w:rPr>
        <w:t>?</w:t>
      </w:r>
    </w:p>
    <w:p w14:paraId="1804E8CE" w14:textId="77777777" w:rsidR="00D1780D" w:rsidRPr="00F34075" w:rsidRDefault="00987A47" w:rsidP="00EF4834">
      <w:pPr>
        <w:spacing w:before="13" w:line="267" w:lineRule="auto"/>
        <w:ind w:left="114" w:right="-88"/>
        <w:rPr>
          <w:rFonts w:asciiTheme="minorHAnsi" w:hAnsiTheme="minorHAnsi" w:cstheme="minorHAnsi"/>
          <w:sz w:val="22"/>
          <w:szCs w:val="22"/>
        </w:rPr>
      </w:pPr>
      <w:r w:rsidRPr="00F34075">
        <w:rPr>
          <w:rFonts w:asciiTheme="minorHAnsi" w:hAnsiTheme="minorHAnsi" w:cstheme="minorHAnsi"/>
          <w:sz w:val="22"/>
          <w:szCs w:val="22"/>
        </w:rPr>
        <w:t xml:space="preserve">Items not covered by the Annual Tuition fee are the optional aspects of the school program, such as School Production, School Formals, extra-curricular activities and the cost of uniform and booklist items including e-books. Some external sources of learning may attract a family contribution such </w:t>
      </w:r>
      <w:r w:rsidR="00D51952" w:rsidRPr="00F34075">
        <w:rPr>
          <w:rFonts w:asciiTheme="minorHAnsi" w:hAnsiTheme="minorHAnsi" w:cstheme="minorHAnsi"/>
          <w:sz w:val="22"/>
          <w:szCs w:val="22"/>
        </w:rPr>
        <w:t>as</w:t>
      </w:r>
      <w:r w:rsidRPr="00F34075">
        <w:rPr>
          <w:rFonts w:asciiTheme="minorHAnsi" w:hAnsiTheme="minorHAnsi" w:cstheme="minorHAnsi"/>
          <w:sz w:val="22"/>
          <w:szCs w:val="22"/>
        </w:rPr>
        <w:t xml:space="preserve"> VET subjects.</w:t>
      </w:r>
    </w:p>
    <w:p w14:paraId="0F63F6CA" w14:textId="77777777" w:rsidR="00D1780D" w:rsidRPr="00F34075" w:rsidRDefault="00D1780D" w:rsidP="00EF4834">
      <w:pPr>
        <w:spacing w:before="13" w:line="267" w:lineRule="auto"/>
        <w:ind w:left="114" w:right="71"/>
        <w:rPr>
          <w:rFonts w:asciiTheme="minorHAnsi" w:hAnsiTheme="minorHAnsi" w:cstheme="minorHAnsi"/>
          <w:sz w:val="22"/>
          <w:szCs w:val="22"/>
        </w:rPr>
      </w:pPr>
    </w:p>
    <w:p w14:paraId="08FF4F98" w14:textId="77777777" w:rsidR="00D1780D" w:rsidRPr="00E06595" w:rsidRDefault="00987A47" w:rsidP="00EF4834">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Family Concessions</w:t>
      </w:r>
    </w:p>
    <w:p w14:paraId="459D3423" w14:textId="77777777" w:rsidR="00D1780D" w:rsidRPr="00F34075" w:rsidRDefault="00987A47" w:rsidP="00EF4834">
      <w:pPr>
        <w:spacing w:before="13" w:line="267" w:lineRule="auto"/>
        <w:ind w:left="114" w:right="-88"/>
        <w:rPr>
          <w:rFonts w:asciiTheme="minorHAnsi" w:hAnsiTheme="minorHAnsi" w:cstheme="minorHAnsi"/>
          <w:sz w:val="22"/>
          <w:szCs w:val="22"/>
        </w:rPr>
      </w:pPr>
      <w:r w:rsidRPr="00F34075">
        <w:rPr>
          <w:rFonts w:asciiTheme="minorHAnsi" w:hAnsiTheme="minorHAnsi" w:cstheme="minorHAnsi"/>
          <w:sz w:val="22"/>
          <w:szCs w:val="22"/>
        </w:rPr>
        <w:t>The following concessions apply to the tuition fee where two or more siblings attend the College at the same time:</w:t>
      </w:r>
    </w:p>
    <w:p w14:paraId="3AE60C37" w14:textId="77777777" w:rsidR="00D1780D" w:rsidRPr="00F34075" w:rsidRDefault="00987A47" w:rsidP="00D51952">
      <w:pPr>
        <w:spacing w:before="120" w:line="266" w:lineRule="auto"/>
        <w:ind w:left="113" w:right="-91"/>
        <w:rPr>
          <w:rFonts w:asciiTheme="minorHAnsi" w:hAnsiTheme="minorHAnsi" w:cstheme="minorHAnsi"/>
          <w:sz w:val="22"/>
          <w:szCs w:val="22"/>
        </w:rPr>
      </w:pPr>
      <w:r w:rsidRPr="00860BD0">
        <w:rPr>
          <w:rFonts w:asciiTheme="minorHAnsi" w:hAnsiTheme="minorHAnsi" w:cstheme="minorHAnsi"/>
          <w:sz w:val="22"/>
          <w:szCs w:val="22"/>
          <w:u w:val="single"/>
        </w:rPr>
        <w:t>10% discount</w:t>
      </w:r>
      <w:r w:rsidRPr="00F34075">
        <w:rPr>
          <w:rFonts w:asciiTheme="minorHAnsi" w:hAnsiTheme="minorHAnsi" w:cstheme="minorHAnsi"/>
          <w:sz w:val="22"/>
          <w:szCs w:val="22"/>
        </w:rPr>
        <w:t xml:space="preserve"> on 2nd child, when 2 siblings attend</w:t>
      </w:r>
    </w:p>
    <w:p w14:paraId="266F6A3B" w14:textId="77777777" w:rsidR="00D1780D" w:rsidRPr="00F34075" w:rsidRDefault="00987A47" w:rsidP="00EF4834">
      <w:pPr>
        <w:spacing w:before="60" w:line="266" w:lineRule="auto"/>
        <w:ind w:left="113" w:right="-91"/>
        <w:rPr>
          <w:rFonts w:asciiTheme="minorHAnsi" w:hAnsiTheme="minorHAnsi" w:cstheme="minorHAnsi"/>
          <w:sz w:val="22"/>
          <w:szCs w:val="22"/>
        </w:rPr>
      </w:pPr>
      <w:r w:rsidRPr="00860BD0">
        <w:rPr>
          <w:rFonts w:asciiTheme="minorHAnsi" w:hAnsiTheme="minorHAnsi" w:cstheme="minorHAnsi"/>
          <w:sz w:val="22"/>
          <w:szCs w:val="22"/>
          <w:u w:val="single"/>
        </w:rPr>
        <w:t>20% discount</w:t>
      </w:r>
      <w:r w:rsidRPr="00F34075">
        <w:rPr>
          <w:rFonts w:asciiTheme="minorHAnsi" w:hAnsiTheme="minorHAnsi" w:cstheme="minorHAnsi"/>
          <w:sz w:val="22"/>
          <w:szCs w:val="22"/>
        </w:rPr>
        <w:t xml:space="preserve"> on 3rd child, when 3 siblings attend</w:t>
      </w:r>
    </w:p>
    <w:p w14:paraId="1B4B2184" w14:textId="77777777" w:rsidR="00D1780D" w:rsidRPr="00F34075" w:rsidRDefault="004F134A" w:rsidP="00EF4834">
      <w:pPr>
        <w:spacing w:before="60" w:line="266" w:lineRule="auto"/>
        <w:ind w:left="113" w:right="-91"/>
        <w:rPr>
          <w:rFonts w:asciiTheme="minorHAnsi" w:hAnsiTheme="minorHAnsi" w:cstheme="minorHAnsi"/>
          <w:sz w:val="22"/>
          <w:szCs w:val="22"/>
        </w:rPr>
      </w:pPr>
      <w:r>
        <w:rPr>
          <w:rFonts w:asciiTheme="minorHAnsi" w:hAnsiTheme="minorHAnsi" w:cstheme="minorHAnsi"/>
          <w:sz w:val="22"/>
          <w:szCs w:val="22"/>
          <w:u w:val="single"/>
        </w:rPr>
        <w:t>5</w:t>
      </w:r>
      <w:r w:rsidR="00987A47" w:rsidRPr="00860BD0">
        <w:rPr>
          <w:rFonts w:asciiTheme="minorHAnsi" w:hAnsiTheme="minorHAnsi" w:cstheme="minorHAnsi"/>
          <w:sz w:val="22"/>
          <w:szCs w:val="22"/>
          <w:u w:val="single"/>
        </w:rPr>
        <w:t>0% discount</w:t>
      </w:r>
      <w:r w:rsidR="00987A47" w:rsidRPr="00F34075">
        <w:rPr>
          <w:rFonts w:asciiTheme="minorHAnsi" w:hAnsiTheme="minorHAnsi" w:cstheme="minorHAnsi"/>
          <w:sz w:val="22"/>
          <w:szCs w:val="22"/>
        </w:rPr>
        <w:t xml:space="preserve"> on 4th &amp; 5th child, when 4 or more siblings attend from the one family.</w:t>
      </w:r>
    </w:p>
    <w:p w14:paraId="2C5194C1" w14:textId="77777777" w:rsidR="00D1780D" w:rsidRPr="00F34075" w:rsidRDefault="00D1780D" w:rsidP="00EF4834">
      <w:pPr>
        <w:spacing w:before="13" w:line="267" w:lineRule="auto"/>
        <w:ind w:left="114" w:right="71"/>
        <w:rPr>
          <w:rFonts w:asciiTheme="minorHAnsi" w:hAnsiTheme="minorHAnsi" w:cstheme="minorHAnsi"/>
          <w:sz w:val="22"/>
          <w:szCs w:val="22"/>
        </w:rPr>
      </w:pPr>
    </w:p>
    <w:p w14:paraId="50C474BF" w14:textId="77777777" w:rsidR="00D1780D" w:rsidRPr="00E06595" w:rsidRDefault="00301F10" w:rsidP="00EF4834">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Devices</w:t>
      </w:r>
    </w:p>
    <w:p w14:paraId="1BBFABEA" w14:textId="77777777" w:rsidR="00D1780D" w:rsidRPr="00F34075" w:rsidRDefault="00301F10" w:rsidP="00EF4834">
      <w:pPr>
        <w:spacing w:before="13" w:line="267" w:lineRule="auto"/>
        <w:ind w:left="114" w:right="-88"/>
        <w:rPr>
          <w:rFonts w:asciiTheme="minorHAnsi" w:hAnsiTheme="minorHAnsi" w:cstheme="minorHAnsi"/>
          <w:sz w:val="22"/>
          <w:szCs w:val="22"/>
        </w:rPr>
      </w:pPr>
      <w:r>
        <w:rPr>
          <w:rFonts w:asciiTheme="minorHAnsi" w:hAnsiTheme="minorHAnsi" w:cstheme="minorHAnsi"/>
          <w:sz w:val="22"/>
          <w:szCs w:val="22"/>
        </w:rPr>
        <w:t>There is an annual iPad fee of $</w:t>
      </w:r>
      <w:r w:rsidR="006D0D38">
        <w:rPr>
          <w:rFonts w:asciiTheme="minorHAnsi" w:hAnsiTheme="minorHAnsi" w:cstheme="minorHAnsi"/>
          <w:sz w:val="22"/>
          <w:szCs w:val="22"/>
        </w:rPr>
        <w:t>135</w:t>
      </w:r>
      <w:r>
        <w:rPr>
          <w:rFonts w:asciiTheme="minorHAnsi" w:hAnsiTheme="minorHAnsi" w:cstheme="minorHAnsi"/>
          <w:sz w:val="22"/>
          <w:szCs w:val="22"/>
        </w:rPr>
        <w:t>, which is charged to students in Years 7-9. Ownership</w:t>
      </w:r>
      <w:r w:rsidR="00F465B8">
        <w:rPr>
          <w:rFonts w:asciiTheme="minorHAnsi" w:hAnsiTheme="minorHAnsi" w:cstheme="minorHAnsi"/>
          <w:sz w:val="22"/>
          <w:szCs w:val="22"/>
        </w:rPr>
        <w:t xml:space="preserve"> transfers to parents/ guardians at the end of Year 9.</w:t>
      </w:r>
    </w:p>
    <w:p w14:paraId="2332F265" w14:textId="77777777" w:rsidR="00D1780D" w:rsidRDefault="00301F10" w:rsidP="00EF4834">
      <w:pPr>
        <w:spacing w:before="13" w:line="267" w:lineRule="auto"/>
        <w:ind w:left="114" w:right="-88"/>
        <w:rPr>
          <w:rFonts w:asciiTheme="minorHAnsi" w:hAnsiTheme="minorHAnsi" w:cstheme="minorHAnsi"/>
          <w:sz w:val="22"/>
          <w:szCs w:val="22"/>
        </w:rPr>
      </w:pPr>
      <w:r>
        <w:rPr>
          <w:rFonts w:asciiTheme="minorHAnsi" w:hAnsiTheme="minorHAnsi" w:cstheme="minorHAnsi"/>
          <w:sz w:val="22"/>
          <w:szCs w:val="22"/>
        </w:rPr>
        <w:t>From Year 10, students are required to bring their own device</w:t>
      </w:r>
      <w:r w:rsidR="00987A47" w:rsidRPr="00F34075">
        <w:rPr>
          <w:rFonts w:asciiTheme="minorHAnsi" w:hAnsiTheme="minorHAnsi" w:cstheme="minorHAnsi"/>
          <w:sz w:val="22"/>
          <w:szCs w:val="22"/>
        </w:rPr>
        <w:t>.</w:t>
      </w:r>
      <w:r w:rsidR="00F465B8">
        <w:rPr>
          <w:rFonts w:asciiTheme="minorHAnsi" w:hAnsiTheme="minorHAnsi" w:cstheme="minorHAnsi"/>
          <w:sz w:val="22"/>
          <w:szCs w:val="22"/>
        </w:rPr>
        <w:t xml:space="preserve"> It is recommended that a laptop meets the following specifications:</w:t>
      </w:r>
    </w:p>
    <w:p w14:paraId="7489E3FB" w14:textId="77777777" w:rsidR="00F465B8" w:rsidRPr="00F34075" w:rsidRDefault="00F465B8" w:rsidP="00F465B8">
      <w:pPr>
        <w:spacing w:before="60" w:line="266" w:lineRule="auto"/>
        <w:ind w:left="113" w:right="-91"/>
        <w:rPr>
          <w:rFonts w:asciiTheme="minorHAnsi" w:hAnsiTheme="minorHAnsi" w:cstheme="minorHAnsi"/>
          <w:sz w:val="22"/>
          <w:szCs w:val="22"/>
        </w:rPr>
      </w:pPr>
      <w:r w:rsidRPr="00F465B8">
        <w:rPr>
          <w:rFonts w:asciiTheme="minorHAnsi" w:hAnsiTheme="minorHAnsi" w:cstheme="minorHAnsi"/>
          <w:b/>
          <w:sz w:val="22"/>
          <w:szCs w:val="22"/>
        </w:rPr>
        <w:t>Windows:</w:t>
      </w:r>
      <w:r>
        <w:rPr>
          <w:rFonts w:asciiTheme="minorHAnsi" w:hAnsiTheme="minorHAnsi" w:cstheme="minorHAnsi"/>
          <w:sz w:val="22"/>
          <w:szCs w:val="22"/>
        </w:rPr>
        <w:t xml:space="preserve"> At least 8GB of RAM and an i5 Processor or Ryzen 5 (or equivalent).</w:t>
      </w:r>
    </w:p>
    <w:p w14:paraId="68FC0579" w14:textId="77777777" w:rsidR="00D1780D" w:rsidRPr="00F34075" w:rsidRDefault="00F465B8" w:rsidP="00F465B8">
      <w:pPr>
        <w:spacing w:before="60" w:line="266" w:lineRule="auto"/>
        <w:ind w:left="113" w:right="-91"/>
        <w:rPr>
          <w:rFonts w:asciiTheme="minorHAnsi" w:hAnsiTheme="minorHAnsi" w:cstheme="minorHAnsi"/>
          <w:sz w:val="22"/>
          <w:szCs w:val="22"/>
        </w:rPr>
      </w:pPr>
      <w:r w:rsidRPr="00F465B8">
        <w:rPr>
          <w:rFonts w:asciiTheme="minorHAnsi" w:hAnsiTheme="minorHAnsi" w:cstheme="minorHAnsi"/>
          <w:b/>
          <w:sz w:val="22"/>
          <w:szCs w:val="22"/>
        </w:rPr>
        <w:t>MacBooks:</w:t>
      </w:r>
      <w:r>
        <w:rPr>
          <w:rFonts w:asciiTheme="minorHAnsi" w:hAnsiTheme="minorHAnsi" w:cstheme="minorHAnsi"/>
          <w:sz w:val="22"/>
          <w:szCs w:val="22"/>
        </w:rPr>
        <w:t xml:space="preserve"> M1 chip or later</w:t>
      </w:r>
    </w:p>
    <w:p w14:paraId="276AE560" w14:textId="77777777" w:rsidR="00EF4834" w:rsidRPr="00F34075" w:rsidRDefault="00F34075" w:rsidP="00EF4834">
      <w:pPr>
        <w:spacing w:before="13" w:line="267" w:lineRule="auto"/>
        <w:ind w:left="114" w:right="71"/>
        <w:rPr>
          <w:rFonts w:asciiTheme="minorHAnsi" w:hAnsiTheme="minorHAnsi" w:cstheme="minorHAnsi"/>
          <w:sz w:val="22"/>
          <w:szCs w:val="22"/>
        </w:rPr>
      </w:pPr>
      <w:r w:rsidRPr="00F34075">
        <w:rPr>
          <w:rFonts w:asciiTheme="minorHAnsi" w:hAnsiTheme="minorHAnsi" w:cstheme="minorHAnsi"/>
          <w:noProof/>
          <w:sz w:val="22"/>
          <w:szCs w:val="22"/>
          <w:lang w:val="en-AU" w:eastAsia="en-AU"/>
        </w:rPr>
        <mc:AlternateContent>
          <mc:Choice Requires="wpg">
            <w:drawing>
              <wp:anchor distT="0" distB="0" distL="114300" distR="114300" simplePos="0" relativeHeight="251657728" behindDoc="1" locked="0" layoutInCell="1" allowOverlap="1" wp14:anchorId="32CE8BF9" wp14:editId="38DCB00A">
                <wp:simplePos x="0" y="0"/>
                <wp:positionH relativeFrom="page">
                  <wp:posOffset>352425</wp:posOffset>
                </wp:positionH>
                <wp:positionV relativeFrom="page">
                  <wp:posOffset>9886950</wp:posOffset>
                </wp:positionV>
                <wp:extent cx="6760210" cy="104775"/>
                <wp:effectExtent l="0" t="0" r="21590" b="476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0210" cy="104775"/>
                          <a:chOff x="588" y="14882"/>
                          <a:chExt cx="10646" cy="938"/>
                        </a:xfrm>
                      </wpg:grpSpPr>
                      <wps:wsp>
                        <wps:cNvPr id="4" name="Freeform 7"/>
                        <wps:cNvSpPr>
                          <a:spLocks/>
                        </wps:cNvSpPr>
                        <wps:spPr bwMode="auto">
                          <a:xfrm>
                            <a:off x="588" y="14882"/>
                            <a:ext cx="10646" cy="938"/>
                          </a:xfrm>
                          <a:custGeom>
                            <a:avLst/>
                            <a:gdLst>
                              <a:gd name="T0" fmla="+- 0 588 588"/>
                              <a:gd name="T1" fmla="*/ T0 w 10646"/>
                              <a:gd name="T2" fmla="+- 0 14882 14882"/>
                              <a:gd name="T3" fmla="*/ 14882 h 938"/>
                              <a:gd name="T4" fmla="+- 0 11234 588"/>
                              <a:gd name="T5" fmla="*/ T4 w 10646"/>
                              <a:gd name="T6" fmla="+- 0 14882 14882"/>
                              <a:gd name="T7" fmla="*/ 14882 h 938"/>
                              <a:gd name="T8" fmla="+- 0 11234 588"/>
                              <a:gd name="T9" fmla="*/ T8 w 10646"/>
                              <a:gd name="T10" fmla="+- 0 15821 14882"/>
                              <a:gd name="T11" fmla="*/ 15821 h 938"/>
                              <a:gd name="T12" fmla="+- 0 588 588"/>
                              <a:gd name="T13" fmla="*/ T12 w 10646"/>
                              <a:gd name="T14" fmla="+- 0 15821 14882"/>
                              <a:gd name="T15" fmla="*/ 15821 h 938"/>
                              <a:gd name="T16" fmla="+- 0 588 588"/>
                              <a:gd name="T17" fmla="*/ T16 w 10646"/>
                              <a:gd name="T18" fmla="+- 0 14882 14882"/>
                              <a:gd name="T19" fmla="*/ 14882 h 938"/>
                            </a:gdLst>
                            <a:ahLst/>
                            <a:cxnLst>
                              <a:cxn ang="0">
                                <a:pos x="T1" y="T3"/>
                              </a:cxn>
                              <a:cxn ang="0">
                                <a:pos x="T5" y="T7"/>
                              </a:cxn>
                              <a:cxn ang="0">
                                <a:pos x="T9" y="T11"/>
                              </a:cxn>
                              <a:cxn ang="0">
                                <a:pos x="T13" y="T15"/>
                              </a:cxn>
                              <a:cxn ang="0">
                                <a:pos x="T17" y="T19"/>
                              </a:cxn>
                            </a:cxnLst>
                            <a:rect l="0" t="0" r="r" b="b"/>
                            <a:pathLst>
                              <a:path w="10646" h="938">
                                <a:moveTo>
                                  <a:pt x="0" y="0"/>
                                </a:moveTo>
                                <a:lnTo>
                                  <a:pt x="10646" y="0"/>
                                </a:lnTo>
                                <a:lnTo>
                                  <a:pt x="10646" y="939"/>
                                </a:lnTo>
                                <a:lnTo>
                                  <a:pt x="0" y="939"/>
                                </a:lnTo>
                                <a:lnTo>
                                  <a:pt x="0" y="0"/>
                                </a:lnTo>
                                <a:close/>
                              </a:path>
                            </a:pathLst>
                          </a:custGeom>
                          <a:solidFill>
                            <a:srgbClr val="0C015F"/>
                          </a:solidFill>
                          <a:ln w="9525">
                            <a:solidFill>
                              <a:srgbClr val="0A0149"/>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7CEA3" id="Group 3" o:spid="_x0000_s1026" style="position:absolute;margin-left:27.75pt;margin-top:778.5pt;width:532.3pt;height:8.25pt;z-index:-251656192;mso-position-horizontal-relative:page;mso-position-vertical-relative:page" coordorigin="588,14882" coordsize="1064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">
                <v:shape id="Freeform 7" o:spid="_x0000_s1027" style="position:absolute;left:588;top:14882;width:10646;height:938;visibility:visible;mso-wrap-style:square;v-text-anchor:top" coordsize="1064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" path="m,l10646,r,939l,939,,xe" fillcolor="#0c015f" strokecolor="#0a0149">
                  <v:path arrowok="t" o:connecttype="custom" o:connectlocs="0,14882;10646,14882;10646,15821;0,15821;0,14882" o:connectangles="0,0,0,0,0"/>
                </v:shape>
                <w10:wrap anchorx="page" anchory="page"/>
              </v:group>
            </w:pict>
          </mc:Fallback>
        </mc:AlternateContent>
      </w:r>
      <w:r w:rsidR="00987A47" w:rsidRPr="00F34075">
        <w:rPr>
          <w:rFonts w:asciiTheme="minorHAnsi" w:hAnsiTheme="minorHAnsi" w:cstheme="minorHAnsi"/>
          <w:sz w:val="22"/>
          <w:szCs w:val="22"/>
        </w:rPr>
        <w:br w:type="column"/>
      </w:r>
    </w:p>
    <w:p w14:paraId="4AEE555D" w14:textId="77777777" w:rsidR="00F465B8" w:rsidRPr="00E06595" w:rsidRDefault="00F465B8" w:rsidP="00F465B8">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Enrolment fee</w:t>
      </w:r>
    </w:p>
    <w:p w14:paraId="344DA12F" w14:textId="77777777" w:rsidR="00F465B8" w:rsidRPr="00F34075" w:rsidRDefault="00F465B8" w:rsidP="00F465B8">
      <w:pPr>
        <w:spacing w:before="13" w:line="267" w:lineRule="auto"/>
        <w:ind w:left="114" w:right="-230"/>
        <w:rPr>
          <w:rFonts w:asciiTheme="minorHAnsi" w:hAnsiTheme="minorHAnsi" w:cstheme="minorHAnsi"/>
          <w:sz w:val="22"/>
          <w:szCs w:val="22"/>
        </w:rPr>
      </w:pPr>
      <w:r w:rsidRPr="00F34075">
        <w:rPr>
          <w:rFonts w:asciiTheme="minorHAnsi" w:hAnsiTheme="minorHAnsi" w:cstheme="minorHAnsi"/>
          <w:sz w:val="22"/>
          <w:szCs w:val="22"/>
        </w:rPr>
        <w:t>Marian College does not charge an enrolment fee.</w:t>
      </w:r>
    </w:p>
    <w:p w14:paraId="212D5E18" w14:textId="77777777" w:rsidR="00F465B8" w:rsidRDefault="00F465B8" w:rsidP="00F34075">
      <w:pPr>
        <w:ind w:left="122" w:right="-88"/>
        <w:rPr>
          <w:rFonts w:asciiTheme="minorHAnsi" w:hAnsiTheme="minorHAnsi" w:cstheme="minorHAnsi"/>
          <w:b/>
          <w:w w:val="116"/>
          <w:sz w:val="24"/>
          <w:szCs w:val="24"/>
        </w:rPr>
      </w:pPr>
    </w:p>
    <w:p w14:paraId="647F8646" w14:textId="77777777" w:rsidR="00D1780D" w:rsidRPr="00E06595" w:rsidRDefault="00987A47" w:rsidP="00F34075">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Allowances</w:t>
      </w:r>
    </w:p>
    <w:p w14:paraId="0B4F172E" w14:textId="77777777" w:rsidR="00D1780D" w:rsidRPr="00F34075" w:rsidRDefault="00987A47" w:rsidP="00EF4834">
      <w:pPr>
        <w:spacing w:before="13" w:line="267" w:lineRule="auto"/>
        <w:ind w:left="114" w:right="71"/>
        <w:rPr>
          <w:rFonts w:asciiTheme="minorHAnsi" w:hAnsiTheme="minorHAnsi" w:cstheme="minorHAnsi"/>
          <w:sz w:val="22"/>
          <w:szCs w:val="22"/>
        </w:rPr>
      </w:pPr>
      <w:r w:rsidRPr="00F34075">
        <w:rPr>
          <w:rFonts w:asciiTheme="minorHAnsi" w:hAnsiTheme="minorHAnsi" w:cstheme="minorHAnsi"/>
          <w:b/>
          <w:sz w:val="22"/>
          <w:szCs w:val="22"/>
        </w:rPr>
        <w:t>Camps, Sports &amp; Excursions Fund (CSEF):</w:t>
      </w:r>
      <w:r w:rsidRPr="00F34075">
        <w:rPr>
          <w:rFonts w:asciiTheme="minorHAnsi" w:hAnsiTheme="minorHAnsi" w:cstheme="minorHAnsi"/>
          <w:sz w:val="22"/>
          <w:szCs w:val="22"/>
        </w:rPr>
        <w:t xml:space="preserve"> $400 per student </w:t>
      </w:r>
      <w:r w:rsidR="00D51952" w:rsidRPr="00F34075">
        <w:rPr>
          <w:rFonts w:asciiTheme="minorHAnsi" w:hAnsiTheme="minorHAnsi" w:cstheme="minorHAnsi"/>
          <w:sz w:val="22"/>
          <w:szCs w:val="22"/>
        </w:rPr>
        <w:t xml:space="preserve">is </w:t>
      </w:r>
      <w:r w:rsidRPr="00F34075">
        <w:rPr>
          <w:rFonts w:asciiTheme="minorHAnsi" w:hAnsiTheme="minorHAnsi" w:cstheme="minorHAnsi"/>
          <w:sz w:val="22"/>
          <w:szCs w:val="22"/>
        </w:rPr>
        <w:t xml:space="preserve">provided by the Victorian Government to assist families who hold a valid means-tested concessions card. Application forms are available from the school or by visiting the website </w:t>
      </w:r>
      <w:hyperlink r:id="rId9" w:history="1">
        <w:r w:rsidR="00860BD0" w:rsidRPr="00113E0C">
          <w:rPr>
            <w:rStyle w:val="Hyperlink"/>
            <w:rFonts w:asciiTheme="minorHAnsi" w:hAnsiTheme="minorHAnsi" w:cstheme="minorHAnsi"/>
            <w:sz w:val="22"/>
            <w:szCs w:val="22"/>
          </w:rPr>
          <w:t>www.vic.gov.au/camps-sports-and-excursions-fund</w:t>
        </w:r>
      </w:hyperlink>
      <w:r w:rsidR="00D51952" w:rsidRPr="00F34075">
        <w:rPr>
          <w:rFonts w:asciiTheme="minorHAnsi" w:hAnsiTheme="minorHAnsi" w:cstheme="minorHAnsi"/>
          <w:sz w:val="22"/>
          <w:szCs w:val="22"/>
        </w:rPr>
        <w:t>. This can be deducted from school fees.</w:t>
      </w:r>
    </w:p>
    <w:p w14:paraId="7438FAD4" w14:textId="77777777" w:rsidR="00D1780D" w:rsidRPr="00F34075" w:rsidRDefault="00D1780D" w:rsidP="00EF4834">
      <w:pPr>
        <w:spacing w:before="13" w:line="267" w:lineRule="auto"/>
        <w:ind w:left="114" w:right="71"/>
        <w:rPr>
          <w:rFonts w:asciiTheme="minorHAnsi" w:hAnsiTheme="minorHAnsi" w:cstheme="minorHAnsi"/>
          <w:sz w:val="22"/>
          <w:szCs w:val="22"/>
        </w:rPr>
      </w:pPr>
    </w:p>
    <w:p w14:paraId="48FB7CEB" w14:textId="77777777" w:rsidR="00D1780D" w:rsidRPr="00E06595" w:rsidRDefault="00987A47" w:rsidP="00F34075">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Travel Assistance</w:t>
      </w:r>
    </w:p>
    <w:p w14:paraId="72F41E68" w14:textId="77777777" w:rsidR="00F465B8" w:rsidRDefault="00987A47" w:rsidP="00EF4834">
      <w:pPr>
        <w:spacing w:before="13" w:line="267" w:lineRule="auto"/>
        <w:ind w:left="114" w:right="71"/>
        <w:rPr>
          <w:rFonts w:asciiTheme="minorHAnsi" w:hAnsiTheme="minorHAnsi" w:cstheme="minorHAnsi"/>
          <w:sz w:val="22"/>
          <w:szCs w:val="22"/>
          <w:u w:val="single"/>
        </w:rPr>
      </w:pPr>
      <w:r w:rsidRPr="00F34075">
        <w:rPr>
          <w:rFonts w:asciiTheme="minorHAnsi" w:hAnsiTheme="minorHAnsi" w:cstheme="minorHAnsi"/>
          <w:sz w:val="22"/>
          <w:szCs w:val="22"/>
        </w:rPr>
        <w:t xml:space="preserve">The conveyance allowance is available to assist families who live more than 4.8Km from their nearest appropriate school/campus and are not fully serviced by a free school bus. </w:t>
      </w:r>
      <w:r w:rsidR="00F465B8">
        <w:rPr>
          <w:rFonts w:asciiTheme="minorHAnsi" w:hAnsiTheme="minorHAnsi" w:cstheme="minorHAnsi"/>
          <w:sz w:val="22"/>
          <w:szCs w:val="22"/>
        </w:rPr>
        <w:t>For more</w:t>
      </w:r>
      <w:r w:rsidRPr="00F34075">
        <w:rPr>
          <w:rFonts w:asciiTheme="minorHAnsi" w:hAnsiTheme="minorHAnsi" w:cstheme="minorHAnsi"/>
          <w:sz w:val="22"/>
          <w:szCs w:val="22"/>
        </w:rPr>
        <w:t xml:space="preserve"> information </w:t>
      </w:r>
      <w:r w:rsidR="00F465B8">
        <w:rPr>
          <w:rFonts w:asciiTheme="minorHAnsi" w:hAnsiTheme="minorHAnsi" w:cstheme="minorHAnsi"/>
          <w:sz w:val="22"/>
          <w:szCs w:val="22"/>
        </w:rPr>
        <w:t>go to</w:t>
      </w:r>
      <w:r w:rsidRPr="00F34075">
        <w:rPr>
          <w:rFonts w:asciiTheme="minorHAnsi" w:hAnsiTheme="minorHAnsi" w:cstheme="minorHAnsi"/>
          <w:sz w:val="22"/>
          <w:szCs w:val="22"/>
        </w:rPr>
        <w:t xml:space="preserve"> </w:t>
      </w:r>
      <w:hyperlink r:id="rId10" w:history="1">
        <w:r w:rsidR="00F465B8" w:rsidRPr="00113E0C">
          <w:rPr>
            <w:rStyle w:val="Hyperlink"/>
            <w:rFonts w:asciiTheme="minorHAnsi" w:hAnsiTheme="minorHAnsi" w:cstheme="minorHAnsi"/>
            <w:sz w:val="22"/>
            <w:szCs w:val="22"/>
          </w:rPr>
          <w:t>https://www2.education.vic.gov.au/pal/conveyance-allowance/policy</w:t>
        </w:r>
      </w:hyperlink>
      <w:r w:rsidR="00F465B8">
        <w:rPr>
          <w:rFonts w:asciiTheme="minorHAnsi" w:hAnsiTheme="minorHAnsi" w:cstheme="minorHAnsi"/>
          <w:sz w:val="22"/>
          <w:szCs w:val="22"/>
          <w:u w:val="single"/>
        </w:rPr>
        <w:t>.</w:t>
      </w:r>
    </w:p>
    <w:p w14:paraId="1A3F7039" w14:textId="77777777" w:rsidR="00D1780D" w:rsidRPr="00F34075" w:rsidRDefault="00987A47" w:rsidP="00EF4834">
      <w:pPr>
        <w:spacing w:before="13" w:line="267" w:lineRule="auto"/>
        <w:ind w:left="114" w:right="71"/>
        <w:rPr>
          <w:rFonts w:asciiTheme="minorHAnsi" w:hAnsiTheme="minorHAnsi" w:cstheme="minorHAnsi"/>
          <w:sz w:val="22"/>
          <w:szCs w:val="22"/>
        </w:rPr>
      </w:pPr>
      <w:r w:rsidRPr="00F34075">
        <w:rPr>
          <w:rFonts w:asciiTheme="minorHAnsi" w:hAnsiTheme="minorHAnsi" w:cstheme="minorHAnsi"/>
          <w:sz w:val="22"/>
          <w:szCs w:val="22"/>
        </w:rPr>
        <w:t>Application forms are available online or from the school.</w:t>
      </w:r>
    </w:p>
    <w:p w14:paraId="0EC0F887" w14:textId="77777777" w:rsidR="00D1780D" w:rsidRPr="00F34075" w:rsidRDefault="00D1780D" w:rsidP="00EF4834">
      <w:pPr>
        <w:spacing w:before="13" w:line="267" w:lineRule="auto"/>
        <w:ind w:left="114" w:right="71"/>
        <w:rPr>
          <w:rFonts w:asciiTheme="minorHAnsi" w:hAnsiTheme="minorHAnsi" w:cstheme="minorHAnsi"/>
          <w:sz w:val="22"/>
          <w:szCs w:val="22"/>
        </w:rPr>
      </w:pPr>
    </w:p>
    <w:p w14:paraId="1C0B00E7" w14:textId="77777777" w:rsidR="00D1780D" w:rsidRPr="00E06595" w:rsidRDefault="00987A47" w:rsidP="00F34075">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Financial Hardship</w:t>
      </w:r>
    </w:p>
    <w:p w14:paraId="6D2E57AF" w14:textId="77777777" w:rsidR="00D1780D" w:rsidRPr="00F34075" w:rsidRDefault="00987A47" w:rsidP="00EF4834">
      <w:pPr>
        <w:spacing w:before="13" w:line="267" w:lineRule="auto"/>
        <w:ind w:left="114" w:right="71"/>
        <w:rPr>
          <w:rFonts w:asciiTheme="minorHAnsi" w:hAnsiTheme="minorHAnsi" w:cstheme="minorHAnsi"/>
          <w:sz w:val="22"/>
          <w:szCs w:val="22"/>
        </w:rPr>
      </w:pPr>
      <w:r w:rsidRPr="00F34075">
        <w:rPr>
          <w:rFonts w:asciiTheme="minorHAnsi" w:hAnsiTheme="minorHAnsi" w:cstheme="minorHAnsi"/>
          <w:sz w:val="22"/>
          <w:szCs w:val="22"/>
        </w:rPr>
        <w:t>Catholic education in Victoria is strongly committed to the principles of social justice and the dignity of the human person. We make it a priority, therefore, to create an environment in which all parents and families feel welcomed, valued and supported. In cases of genuine hardship, you are encouraged to discuss your situation, in confidence, with the Business Manager.</w:t>
      </w:r>
    </w:p>
    <w:p w14:paraId="25E6D680" w14:textId="77777777" w:rsidR="00D1780D" w:rsidRPr="00F34075" w:rsidRDefault="00D1780D" w:rsidP="00EF4834">
      <w:pPr>
        <w:spacing w:before="13" w:line="267" w:lineRule="auto"/>
        <w:ind w:left="114" w:right="71"/>
        <w:rPr>
          <w:rFonts w:asciiTheme="minorHAnsi" w:hAnsiTheme="minorHAnsi" w:cstheme="minorHAnsi"/>
          <w:sz w:val="22"/>
          <w:szCs w:val="22"/>
        </w:rPr>
      </w:pPr>
    </w:p>
    <w:p w14:paraId="23BFC4FE" w14:textId="77777777" w:rsidR="00D1780D" w:rsidRPr="00E06595" w:rsidRDefault="00F34075" w:rsidP="00F34075">
      <w:pPr>
        <w:ind w:left="122" w:right="-88"/>
        <w:rPr>
          <w:rFonts w:asciiTheme="minorHAnsi" w:hAnsiTheme="minorHAnsi" w:cstheme="minorHAnsi"/>
          <w:b/>
          <w:color w:val="0C0294"/>
          <w:w w:val="116"/>
          <w:sz w:val="24"/>
          <w:szCs w:val="24"/>
        </w:rPr>
      </w:pPr>
      <w:r w:rsidRPr="00E06595">
        <w:rPr>
          <w:rFonts w:asciiTheme="minorHAnsi" w:hAnsiTheme="minorHAnsi" w:cstheme="minorHAnsi"/>
          <w:b/>
          <w:color w:val="0C0294"/>
          <w:w w:val="116"/>
          <w:sz w:val="24"/>
          <w:szCs w:val="24"/>
        </w:rPr>
        <w:t>Other fees and</w:t>
      </w:r>
      <w:r w:rsidR="00987A47" w:rsidRPr="00E06595">
        <w:rPr>
          <w:rFonts w:asciiTheme="minorHAnsi" w:hAnsiTheme="minorHAnsi" w:cstheme="minorHAnsi"/>
          <w:b/>
          <w:color w:val="0C0294"/>
          <w:w w:val="116"/>
          <w:sz w:val="24"/>
          <w:szCs w:val="24"/>
        </w:rPr>
        <w:t xml:space="preserve"> </w:t>
      </w:r>
      <w:r w:rsidRPr="00E06595">
        <w:rPr>
          <w:rFonts w:asciiTheme="minorHAnsi" w:hAnsiTheme="minorHAnsi" w:cstheme="minorHAnsi"/>
          <w:b/>
          <w:color w:val="0C0294"/>
          <w:w w:val="116"/>
          <w:sz w:val="24"/>
          <w:szCs w:val="24"/>
        </w:rPr>
        <w:t>Levies</w:t>
      </w:r>
    </w:p>
    <w:p w14:paraId="0EF50B9C" w14:textId="77777777" w:rsidR="00D1780D" w:rsidRPr="00F34075" w:rsidRDefault="00987A47" w:rsidP="00F34075">
      <w:pPr>
        <w:spacing w:before="60" w:line="266" w:lineRule="auto"/>
        <w:ind w:left="113" w:right="-91"/>
        <w:rPr>
          <w:rFonts w:asciiTheme="minorHAnsi" w:hAnsiTheme="minorHAnsi" w:cstheme="minorHAnsi"/>
          <w:sz w:val="22"/>
          <w:szCs w:val="22"/>
        </w:rPr>
      </w:pPr>
      <w:r w:rsidRPr="00860BD0">
        <w:rPr>
          <w:rFonts w:asciiTheme="minorHAnsi" w:hAnsiTheme="minorHAnsi" w:cstheme="minorHAnsi"/>
          <w:b/>
          <w:sz w:val="22"/>
          <w:szCs w:val="22"/>
        </w:rPr>
        <w:t>Capital Levy</w:t>
      </w:r>
      <w:r w:rsidRPr="00F34075">
        <w:rPr>
          <w:rFonts w:asciiTheme="minorHAnsi" w:hAnsiTheme="minorHAnsi" w:cstheme="minorHAnsi"/>
          <w:sz w:val="22"/>
          <w:szCs w:val="22"/>
        </w:rPr>
        <w:t xml:space="preserve"> </w:t>
      </w:r>
      <w:r w:rsidR="00F34075">
        <w:rPr>
          <w:rFonts w:asciiTheme="minorHAnsi" w:hAnsiTheme="minorHAnsi" w:cstheme="minorHAnsi"/>
          <w:sz w:val="22"/>
          <w:szCs w:val="22"/>
        </w:rPr>
        <w:t xml:space="preserve">- </w:t>
      </w:r>
      <w:r w:rsidRPr="00F34075">
        <w:rPr>
          <w:rFonts w:asciiTheme="minorHAnsi" w:hAnsiTheme="minorHAnsi" w:cstheme="minorHAnsi"/>
          <w:sz w:val="22"/>
          <w:szCs w:val="22"/>
        </w:rPr>
        <w:t>$200</w:t>
      </w:r>
      <w:r w:rsidR="00F34075">
        <w:rPr>
          <w:rFonts w:asciiTheme="minorHAnsi" w:hAnsiTheme="minorHAnsi" w:cstheme="minorHAnsi"/>
          <w:sz w:val="22"/>
          <w:szCs w:val="22"/>
        </w:rPr>
        <w:t xml:space="preserve"> </w:t>
      </w:r>
      <w:r w:rsidR="00F34075" w:rsidRPr="00F34075">
        <w:rPr>
          <w:rFonts w:asciiTheme="minorHAnsi" w:hAnsiTheme="minorHAnsi" w:cstheme="minorHAnsi"/>
          <w:sz w:val="22"/>
          <w:szCs w:val="22"/>
        </w:rPr>
        <w:t>(per family)</w:t>
      </w:r>
    </w:p>
    <w:p w14:paraId="69CB1026" w14:textId="77777777" w:rsidR="00D1780D" w:rsidRPr="00F34075" w:rsidRDefault="00987A47" w:rsidP="00EF4834">
      <w:pPr>
        <w:spacing w:before="60" w:line="266" w:lineRule="auto"/>
        <w:ind w:left="113" w:right="-91"/>
        <w:rPr>
          <w:rFonts w:asciiTheme="minorHAnsi" w:hAnsiTheme="minorHAnsi" w:cstheme="minorHAnsi"/>
          <w:sz w:val="22"/>
          <w:szCs w:val="22"/>
        </w:rPr>
      </w:pPr>
      <w:r w:rsidRPr="00860BD0">
        <w:rPr>
          <w:rFonts w:asciiTheme="minorHAnsi" w:hAnsiTheme="minorHAnsi" w:cstheme="minorHAnsi"/>
          <w:b/>
          <w:sz w:val="22"/>
          <w:szCs w:val="22"/>
        </w:rPr>
        <w:t>VM Project Levy</w:t>
      </w:r>
      <w:r w:rsidRPr="00F34075">
        <w:rPr>
          <w:rFonts w:asciiTheme="minorHAnsi" w:hAnsiTheme="minorHAnsi" w:cstheme="minorHAnsi"/>
          <w:sz w:val="22"/>
          <w:szCs w:val="22"/>
        </w:rPr>
        <w:t xml:space="preserve"> </w:t>
      </w:r>
      <w:r w:rsidR="00F34075">
        <w:rPr>
          <w:rFonts w:asciiTheme="minorHAnsi" w:hAnsiTheme="minorHAnsi" w:cstheme="minorHAnsi"/>
          <w:sz w:val="22"/>
          <w:szCs w:val="22"/>
        </w:rPr>
        <w:t xml:space="preserve">- </w:t>
      </w:r>
      <w:r w:rsidRPr="00F34075">
        <w:rPr>
          <w:rFonts w:asciiTheme="minorHAnsi" w:hAnsiTheme="minorHAnsi" w:cstheme="minorHAnsi"/>
          <w:sz w:val="22"/>
          <w:szCs w:val="22"/>
        </w:rPr>
        <w:t>$100 (if applicable)</w:t>
      </w:r>
    </w:p>
    <w:p w14:paraId="2E376FA7" w14:textId="77777777" w:rsidR="00D1780D" w:rsidRPr="00F34075" w:rsidRDefault="00987A47" w:rsidP="00EF4834">
      <w:pPr>
        <w:spacing w:before="60" w:line="266" w:lineRule="auto"/>
        <w:ind w:left="113" w:right="-91"/>
        <w:rPr>
          <w:rFonts w:asciiTheme="minorHAnsi" w:hAnsiTheme="minorHAnsi" w:cstheme="minorHAnsi"/>
          <w:sz w:val="22"/>
          <w:szCs w:val="22"/>
        </w:rPr>
      </w:pPr>
      <w:r w:rsidRPr="00860BD0">
        <w:rPr>
          <w:rFonts w:asciiTheme="minorHAnsi" w:hAnsiTheme="minorHAnsi" w:cstheme="minorHAnsi"/>
          <w:b/>
          <w:sz w:val="22"/>
          <w:szCs w:val="22"/>
        </w:rPr>
        <w:t>VET subject and materials fee</w:t>
      </w:r>
      <w:r w:rsidRPr="00F34075">
        <w:rPr>
          <w:rFonts w:asciiTheme="minorHAnsi" w:hAnsiTheme="minorHAnsi" w:cstheme="minorHAnsi"/>
          <w:sz w:val="22"/>
          <w:szCs w:val="22"/>
        </w:rPr>
        <w:t xml:space="preserve"> - $2</w:t>
      </w:r>
      <w:r w:rsidR="00EF4834" w:rsidRPr="00F34075">
        <w:rPr>
          <w:rFonts w:asciiTheme="minorHAnsi" w:hAnsiTheme="minorHAnsi" w:cstheme="minorHAnsi"/>
          <w:sz w:val="22"/>
          <w:szCs w:val="22"/>
        </w:rPr>
        <w:t>5</w:t>
      </w:r>
      <w:r w:rsidRPr="00F34075">
        <w:rPr>
          <w:rFonts w:asciiTheme="minorHAnsi" w:hAnsiTheme="minorHAnsi" w:cstheme="minorHAnsi"/>
          <w:sz w:val="22"/>
          <w:szCs w:val="22"/>
        </w:rPr>
        <w:t>0</w:t>
      </w:r>
    </w:p>
    <w:sectPr w:rsidR="00D1780D" w:rsidRPr="00F34075">
      <w:type w:val="continuous"/>
      <w:pgSz w:w="11920" w:h="16840"/>
      <w:pgMar w:top="860" w:right="620" w:bottom="280" w:left="500" w:header="720" w:footer="720" w:gutter="0"/>
      <w:cols w:num="2" w:space="720" w:equalWidth="0">
        <w:col w:w="5157" w:space="434"/>
        <w:col w:w="52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4A4F" w14:textId="77777777" w:rsidR="00AE202E" w:rsidRDefault="00AE202E" w:rsidP="00E06595">
      <w:r>
        <w:separator/>
      </w:r>
    </w:p>
  </w:endnote>
  <w:endnote w:type="continuationSeparator" w:id="0">
    <w:p w14:paraId="3F329012" w14:textId="77777777" w:rsidR="00AE202E" w:rsidRDefault="00AE202E" w:rsidP="00E0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C88" w14:textId="77777777" w:rsidR="00E06595" w:rsidRPr="00E06595" w:rsidRDefault="00E06595" w:rsidP="00E06595">
    <w:pPr>
      <w:pStyle w:val="Footer"/>
      <w:jc w:val="center"/>
      <w:rPr>
        <w:rFonts w:asciiTheme="minorHAnsi" w:hAnsiTheme="minorHAnsi" w:cstheme="minorHAnsi"/>
        <w:i/>
        <w:color w:val="0C015F"/>
        <w:lang w:val="en-AU"/>
      </w:rPr>
    </w:pPr>
    <w:r>
      <w:rPr>
        <w:rFonts w:asciiTheme="minorHAnsi" w:hAnsiTheme="minorHAnsi" w:cstheme="minorHAnsi"/>
        <w:i/>
        <w:noProof/>
        <w:color w:val="0C015F"/>
        <w:lang w:val="en-AU" w:eastAsia="en-AU"/>
      </w:rPr>
      <w:drawing>
        <wp:anchor distT="0" distB="0" distL="114300" distR="114300" simplePos="0" relativeHeight="251658240" behindDoc="0" locked="0" layoutInCell="1" allowOverlap="1" wp14:anchorId="29D9FC2C" wp14:editId="2AABEFF7">
          <wp:simplePos x="0" y="0"/>
          <wp:positionH relativeFrom="column">
            <wp:posOffset>1034415</wp:posOffset>
          </wp:positionH>
          <wp:positionV relativeFrom="paragraph">
            <wp:posOffset>-153670</wp:posOffset>
          </wp:positionV>
          <wp:extent cx="239395" cy="379730"/>
          <wp:effectExtent l="0" t="0" r="825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M flame only.JP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239395" cy="379730"/>
                  </a:xfrm>
                  <a:prstGeom prst="rect">
                    <a:avLst/>
                  </a:prstGeom>
                </pic:spPr>
              </pic:pic>
            </a:graphicData>
          </a:graphic>
          <wp14:sizeRelH relativeFrom="margin">
            <wp14:pctWidth>0</wp14:pctWidth>
          </wp14:sizeRelH>
          <wp14:sizeRelV relativeFrom="margin">
            <wp14:pctHeight>0</wp14:pctHeight>
          </wp14:sizeRelV>
        </wp:anchor>
      </w:drawing>
    </w:r>
    <w:r w:rsidRPr="00E06595">
      <w:rPr>
        <w:rFonts w:asciiTheme="minorHAnsi" w:hAnsiTheme="minorHAnsi" w:cstheme="minorHAnsi"/>
        <w:i/>
        <w:color w:val="0C015F"/>
        <w:lang w:val="en-AU"/>
      </w:rPr>
      <w:t>Marian College is a Kildare Education Ministries School in the Brigidine tradition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01C1" w14:textId="77777777" w:rsidR="00AE202E" w:rsidRDefault="00AE202E" w:rsidP="00E06595">
      <w:r>
        <w:separator/>
      </w:r>
    </w:p>
  </w:footnote>
  <w:footnote w:type="continuationSeparator" w:id="0">
    <w:p w14:paraId="6F4F7AF6" w14:textId="77777777" w:rsidR="00AE202E" w:rsidRDefault="00AE202E" w:rsidP="00E06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9611D"/>
    <w:multiLevelType w:val="multilevel"/>
    <w:tmpl w:val="9E161D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4886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0D"/>
    <w:rsid w:val="002701F5"/>
    <w:rsid w:val="00301F10"/>
    <w:rsid w:val="004F134A"/>
    <w:rsid w:val="006D0D38"/>
    <w:rsid w:val="008529E5"/>
    <w:rsid w:val="00860BD0"/>
    <w:rsid w:val="00987A47"/>
    <w:rsid w:val="00AE202E"/>
    <w:rsid w:val="00B7552C"/>
    <w:rsid w:val="00D1780D"/>
    <w:rsid w:val="00D42923"/>
    <w:rsid w:val="00D51952"/>
    <w:rsid w:val="00E06595"/>
    <w:rsid w:val="00EF4834"/>
    <w:rsid w:val="00F34075"/>
    <w:rsid w:val="00F46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C58372"/>
  <w15:docId w15:val="{B47E9A66-1743-4B87-AED2-C60EC525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860BD0"/>
    <w:rPr>
      <w:color w:val="0000FF" w:themeColor="hyperlink"/>
      <w:u w:val="single"/>
    </w:rPr>
  </w:style>
  <w:style w:type="paragraph" w:styleId="Header">
    <w:name w:val="header"/>
    <w:basedOn w:val="Normal"/>
    <w:link w:val="HeaderChar"/>
    <w:uiPriority w:val="99"/>
    <w:unhideWhenUsed/>
    <w:rsid w:val="00E06595"/>
    <w:pPr>
      <w:tabs>
        <w:tab w:val="center" w:pos="4513"/>
        <w:tab w:val="right" w:pos="9026"/>
      </w:tabs>
    </w:pPr>
  </w:style>
  <w:style w:type="character" w:customStyle="1" w:styleId="HeaderChar">
    <w:name w:val="Header Char"/>
    <w:basedOn w:val="DefaultParagraphFont"/>
    <w:link w:val="Header"/>
    <w:uiPriority w:val="99"/>
    <w:rsid w:val="00E06595"/>
  </w:style>
  <w:style w:type="paragraph" w:styleId="Footer">
    <w:name w:val="footer"/>
    <w:basedOn w:val="Normal"/>
    <w:link w:val="FooterChar"/>
    <w:uiPriority w:val="99"/>
    <w:unhideWhenUsed/>
    <w:rsid w:val="00E06595"/>
    <w:pPr>
      <w:tabs>
        <w:tab w:val="center" w:pos="4513"/>
        <w:tab w:val="right" w:pos="9026"/>
      </w:tabs>
    </w:pPr>
  </w:style>
  <w:style w:type="character" w:customStyle="1" w:styleId="FooterChar">
    <w:name w:val="Footer Char"/>
    <w:basedOn w:val="DefaultParagraphFont"/>
    <w:link w:val="Footer"/>
    <w:uiPriority w:val="99"/>
    <w:rsid w:val="00E06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2.education.vic.gov.au/pal/conveyance-allowance/policy" TargetMode="External"/><Relationship Id="rId4" Type="http://schemas.openxmlformats.org/officeDocument/2006/relationships/webSettings" Target="webSettings.xml"/><Relationship Id="rId9" Type="http://schemas.openxmlformats.org/officeDocument/2006/relationships/hyperlink" Target="http://www.vic.gov.au/camps-sports-and-excursions-fu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MCARARAT</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Stirling</dc:creator>
  <cp:lastModifiedBy>Catherine Howison</cp:lastModifiedBy>
  <cp:revision>2</cp:revision>
  <dcterms:created xsi:type="dcterms:W3CDTF">2026-02-15T23:14:00Z</dcterms:created>
  <dcterms:modified xsi:type="dcterms:W3CDTF">2026-02-15T23:14:00Z</dcterms:modified>
</cp:coreProperties>
</file>