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0"/>
        <w:gridCol w:w="1830"/>
        <w:tblGridChange w:id="0">
          <w:tblGrid>
            <w:gridCol w:w="735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Cleaner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School Services Officer Level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Principal, Business Manager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6"/>
        <w:gridCol w:w="6776"/>
        <w:tblGridChange w:id="0">
          <w:tblGrid>
            <w:gridCol w:w="2466"/>
            <w:gridCol w:w="67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Cleaner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</w:t>
            </w:r>
            <w:r w:rsidDel="00000000" w:rsidR="00000000" w:rsidRPr="00000000">
              <w:rPr>
                <w:rtl w:val="0"/>
              </w:rPr>
              <w:t xml:space="preserve"> Cleaner works as part of a team to ensure the school is properly cleaned.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Duties include: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Vacuuming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Emptying bins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Cleaning toilets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Mopping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Dusting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Checking heaters and air conditioners are turned off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Doors, windows and gates are locked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Lights are turned off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cleaning duties as required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76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Weekly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Cleaning computer screens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Cleaning glass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Sweeping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cleaning duties as required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76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Breaks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Cleaning of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 Desks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 walls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 whiteboards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 chairs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 lockers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 windows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1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 other cleaning duties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2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